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B6" w:rsidRDefault="00B45C00" w:rsidP="00B45C00">
      <w:pPr>
        <w:jc w:val="center"/>
      </w:pPr>
      <w:r>
        <w:t>Языковая</w:t>
      </w:r>
      <w:r w:rsidR="00325DAD">
        <w:t xml:space="preserve"> и коммуникативная</w:t>
      </w:r>
      <w:r>
        <w:t xml:space="preserve"> компетенция на уроках русского языка и литературы.</w:t>
      </w:r>
    </w:p>
    <w:p w:rsidR="00B45C00" w:rsidRDefault="00B45C00" w:rsidP="00421DEA">
      <w:pPr>
        <w:ind w:firstLine="567"/>
      </w:pPr>
      <w:r>
        <w:t>В последнее время изменилось отношение школьников к своему развитию. Они отвергают книги,  не хотят слушать классическую музыку, им неинтересны музеи</w:t>
      </w:r>
      <w:proofErr w:type="gramStart"/>
      <w:r>
        <w:t>…   Д</w:t>
      </w:r>
      <w:proofErr w:type="gramEnd"/>
      <w:r>
        <w:t>аже обычные дворовые игры не привлекают подростков. Все интересы современных мальчишек и девчонок сводятся к одному: по нескольку часов в день проводить за компьютером, который заменил им целый</w:t>
      </w:r>
      <w:r w:rsidR="00E0516F">
        <w:t xml:space="preserve"> мир, наполненный жизнью. Что ищут они на мониторах, о чем мечтают, торопливо перебирая клавиши?  Наверное, легче жить по готовым программам, не затрачивая силы на образование, на устройство собственной судьбы, на решение проблем. Не надо думать о том, как общаться с окружающими, как научиться любить и прощать, быть ве</w:t>
      </w:r>
      <w:r w:rsidR="00325DAD">
        <w:t>рными и честными, стойкими и решительными. Этому мы, педагоги, и должны научить своих воспитанников. Компьютер-друг должен победить компьютера-врага и стать средством расширения интеллекта обучаемых</w:t>
      </w:r>
      <w:r w:rsidR="00920758">
        <w:t>, их развития.</w:t>
      </w:r>
    </w:p>
    <w:p w:rsidR="00920758" w:rsidRDefault="00920758" w:rsidP="00421DEA">
      <w:pPr>
        <w:ind w:firstLine="567"/>
      </w:pPr>
      <w:r>
        <w:t>Главной целью своей работы я считают формирование у учащихся языковой и коммуникатив</w:t>
      </w:r>
      <w:r w:rsidR="00057897">
        <w:t xml:space="preserve">ной компетенций. Коммуникативная </w:t>
      </w:r>
      <w:r>
        <w:t xml:space="preserve"> компетенция включает знание необходимых языков, способов взаимодействия с окружающими людьми и событиями, навыки работы в группе, владение различными социальными ролями в коллективе. Ученик должен уметь представить себя, написать письмо, анкету, заявление, задать вопрос, вести дискуссию.</w:t>
      </w:r>
    </w:p>
    <w:p w:rsidR="00920758" w:rsidRDefault="00920758" w:rsidP="00421DEA">
      <w:pPr>
        <w:ind w:firstLine="567"/>
      </w:pPr>
      <w:r>
        <w:t>Языковая компетенция предполагает</w:t>
      </w:r>
      <w:r w:rsidR="00057897">
        <w:t xml:space="preserve"> практическое владение русским языком, его словарем и грамматическим строем,  соблюдение в устных и письменных высказываниях языковых норм: орфоэпических, лексических, грамматических, стилистических, орфографических, пунктуационных</w:t>
      </w:r>
      <w:r>
        <w:t>. Именно языковая и коммуникативная компетенции способствуют формированию умений и навыков речевого общения. Речевая деятельность формируется во всех ее видах</w:t>
      </w:r>
      <w:r w:rsidR="00445340">
        <w:t xml:space="preserve"> – чтении, говорении, письме, </w:t>
      </w:r>
      <w:proofErr w:type="spellStart"/>
      <w:r w:rsidR="00445340">
        <w:t>аудировании</w:t>
      </w:r>
      <w:proofErr w:type="spellEnd"/>
      <w:r w:rsidR="00445340">
        <w:t>.</w:t>
      </w:r>
    </w:p>
    <w:p w:rsidR="00445340" w:rsidRDefault="00445340" w:rsidP="00421DEA">
      <w:pPr>
        <w:ind w:firstLine="567"/>
      </w:pPr>
      <w:r>
        <w:t>На уроках русского языка и литературы необходимо учить школьников выражать свои мысли связно и адекватно, используя  богатые языковые средства. Мы должны вырабатывать у школьников языковое чутье, развивать аналитические и творческие способности. Богатый материал, имеющийся у словесников, может помочь каждому ребенку осознать себя как личность, найти свой путь в этом мире, таком ж</w:t>
      </w:r>
      <w:r w:rsidR="00C71AB4">
        <w:t xml:space="preserve">естоком и непредсказуемом. </w:t>
      </w:r>
    </w:p>
    <w:p w:rsidR="00C71AB4" w:rsidRPr="00C71AB4" w:rsidRDefault="00C71AB4" w:rsidP="00421DEA">
      <w:pPr>
        <w:ind w:firstLine="567"/>
      </w:pPr>
      <w:r w:rsidRPr="00C71AB4">
        <w:t>По мнению некоторых авторитетных ученых, человек становится компетентным именно в тот момент, когда у него формируется умение самостоятельно оценивать свою деятельность и ее результаты.</w:t>
      </w:r>
      <w:r w:rsidR="00057897">
        <w:t xml:space="preserve"> </w:t>
      </w:r>
      <w:r w:rsidRPr="00C71AB4">
        <w:t xml:space="preserve">Например, при выполнении самостоятельной (практической) работы в условиях </w:t>
      </w:r>
      <w:proofErr w:type="spellStart"/>
      <w:r w:rsidRPr="00C71AB4">
        <w:t>компетентностного</w:t>
      </w:r>
      <w:proofErr w:type="spellEnd"/>
      <w:r w:rsidRPr="00C71AB4">
        <w:t xml:space="preserve"> подхода учитель должен предварительно ознакомить учащихся с критериями оценки. Выполняя самостоятельную работу, ученик должен иметь возможность выбрать уровень сложности, выбрать сроки выполнения из предложенных заранее как минимум двух дат, привлекать дополнительные источники информации (грамотное обращение к словарю может принести дополнительный балл, а помощь соседа может снять баллы), апеллировать выставленную учителем оценку. По результатам работы учитель обязан пояснить свое оценочное суждение о качестве работы ученика (индивидуально или в группе). Акцент необходимо сделать на хорошо выполненных работах и относительном продвижении ранее отстававших учащихся (создание ситуации успеха).</w:t>
      </w:r>
    </w:p>
    <w:p w:rsidR="00C71AB4" w:rsidRPr="00C71AB4" w:rsidRDefault="00C71AB4" w:rsidP="00421DEA">
      <w:pPr>
        <w:ind w:firstLine="567"/>
      </w:pPr>
      <w:r w:rsidRPr="00C71AB4">
        <w:t xml:space="preserve">Ответ учащегося на уроке рассматривается как публичное выступление. Даже если вопрос задает учитель, ответ учащегося адресуется всему классу. В условиях </w:t>
      </w:r>
      <w:proofErr w:type="spellStart"/>
      <w:r w:rsidRPr="00C71AB4">
        <w:t>компетентностного</w:t>
      </w:r>
      <w:proofErr w:type="spellEnd"/>
      <w:r w:rsidRPr="00C71AB4">
        <w:t xml:space="preserve"> подхода учитель должен обращать внимание учащихся на практическую или теоретическую значимость матер</w:t>
      </w:r>
      <w:r w:rsidR="00C2769F">
        <w:t>иала, предъявляемого учащимся</w:t>
      </w:r>
      <w:r w:rsidRPr="00C71AB4">
        <w:t xml:space="preserve"> во время публичного выступления.</w:t>
      </w:r>
    </w:p>
    <w:p w:rsidR="00C71AB4" w:rsidRPr="00C71AB4" w:rsidRDefault="00C71AB4" w:rsidP="00421DEA">
      <w:pPr>
        <w:ind w:firstLine="567"/>
      </w:pPr>
      <w:proofErr w:type="spellStart"/>
      <w:r w:rsidRPr="00C71AB4">
        <w:lastRenderedPageBreak/>
        <w:t>Компетентностным</w:t>
      </w:r>
      <w:proofErr w:type="spellEnd"/>
      <w:r w:rsidRPr="00C71AB4">
        <w:t xml:space="preserve"> является то задание, которое имеет не только учебное, но и жизненное обоснование и не вызывает у думающего ученика</w:t>
      </w:r>
      <w:r w:rsidR="00C2769F">
        <w:t xml:space="preserve"> желания «скачать информацию в Интернете» и представить учителю в готовом виде. </w:t>
      </w:r>
    </w:p>
    <w:p w:rsidR="00C71AB4" w:rsidRPr="00C71AB4" w:rsidRDefault="00C71AB4" w:rsidP="00421DEA">
      <w:pPr>
        <w:ind w:firstLine="567"/>
      </w:pPr>
      <w:r w:rsidRPr="00C71AB4">
        <w:t xml:space="preserve">Реализация </w:t>
      </w:r>
      <w:proofErr w:type="spellStart"/>
      <w:r w:rsidRPr="00C71AB4">
        <w:t>компетентностного</w:t>
      </w:r>
      <w:proofErr w:type="spellEnd"/>
      <w:r w:rsidRPr="00C71AB4">
        <w:t xml:space="preserve"> подхода в школьном образовательном процессе стоит в ряду таких комплексных инноваций, как профильное обучение, сетевое сотрудничество. Разработка своей модели образовательного процесса на основе </w:t>
      </w:r>
      <w:proofErr w:type="spellStart"/>
      <w:r w:rsidRPr="00C71AB4">
        <w:t>компетентностного</w:t>
      </w:r>
      <w:proofErr w:type="spellEnd"/>
      <w:r w:rsidRPr="00C71AB4">
        <w:t xml:space="preserve"> подхода может стать фундаментом серьезной и многолетней работы педагогического коллектива школы – сложной, но, безусловно, интересной и чрезвычайно актуальной.</w:t>
      </w:r>
    </w:p>
    <w:p w:rsidR="00F17ABA" w:rsidRPr="00F17ABA" w:rsidRDefault="00F17ABA" w:rsidP="00421DEA">
      <w:pPr>
        <w:ind w:firstLine="567"/>
      </w:pPr>
      <w:r>
        <w:t>В</w:t>
      </w:r>
      <w:r w:rsidRPr="00F17ABA">
        <w:t xml:space="preserve"> понятие «коммуникативная компетенция» включаются следующие показатели:</w:t>
      </w:r>
    </w:p>
    <w:p w:rsidR="00F17ABA" w:rsidRPr="00F17ABA" w:rsidRDefault="00F17ABA" w:rsidP="00F17ABA">
      <w:r w:rsidRPr="00F17ABA">
        <w:t>1)     осведомленность в лингвистической теории, осознание ее как системы правил и общих предписаний, регулирующих употребление средств языка в речи;</w:t>
      </w:r>
    </w:p>
    <w:p w:rsidR="00F17ABA" w:rsidRPr="00F17ABA" w:rsidRDefault="00F17ABA" w:rsidP="00F17ABA">
      <w:r w:rsidRPr="00F17ABA">
        <w:t xml:space="preserve">2)     знание </w:t>
      </w:r>
      <w:proofErr w:type="spellStart"/>
      <w:r w:rsidRPr="00F17ABA">
        <w:t>речеведческой</w:t>
      </w:r>
      <w:proofErr w:type="spellEnd"/>
      <w:r w:rsidRPr="00F17ABA">
        <w:t xml:space="preserve"> теории, владение основными видами речевой деятельности;</w:t>
      </w:r>
    </w:p>
    <w:p w:rsidR="00F17ABA" w:rsidRPr="00F17ABA" w:rsidRDefault="00F17ABA" w:rsidP="00F17ABA">
      <w:proofErr w:type="gramStart"/>
      <w:r w:rsidRPr="00F17ABA">
        <w:t>3)     владение основными языковыми (опознавать, классифицировать и т.п.) и речевыми (выбирать, актуализировать и т.п.) умениями;</w:t>
      </w:r>
      <w:proofErr w:type="gramEnd"/>
    </w:p>
    <w:p w:rsidR="00F17ABA" w:rsidRPr="00F17ABA" w:rsidRDefault="00F17ABA" w:rsidP="00F17ABA">
      <w:r w:rsidRPr="00F17ABA">
        <w:t>4)     способность анализировать речевую ситуацию и в соответствии с ней выбирать программу (вербальную и невербальную) речевого поведения.</w:t>
      </w:r>
    </w:p>
    <w:p w:rsidR="00F17ABA" w:rsidRPr="00F17ABA" w:rsidRDefault="00F17ABA" w:rsidP="00421DEA">
      <w:pPr>
        <w:ind w:firstLine="567"/>
      </w:pPr>
      <w:r w:rsidRPr="00F17ABA">
        <w:t xml:space="preserve">Основной проблемой, стоящей перед педагогами, внедряющими </w:t>
      </w:r>
      <w:proofErr w:type="spellStart"/>
      <w:r w:rsidRPr="00F17ABA">
        <w:t>компет</w:t>
      </w:r>
      <w:r w:rsidR="00B347D6">
        <w:t>ентностный</w:t>
      </w:r>
      <w:proofErr w:type="spellEnd"/>
      <w:r w:rsidR="00B347D6">
        <w:t xml:space="preserve"> подход в преподавание</w:t>
      </w:r>
      <w:r w:rsidRPr="00F17ABA">
        <w:t xml:space="preserve"> языка, является проблема создания открытого языкового пространства. Речь идет об изменении приоритетов в преподавании: переходе в преподавании с предметного уровня на обучение языку как средству общения. Требуется создать условия, приближенные к естественной коммуникации. В основе уроков русско</w:t>
      </w:r>
      <w:bookmarkStart w:id="0" w:name="_GoBack"/>
      <w:bookmarkEnd w:id="0"/>
      <w:r w:rsidRPr="00F17ABA">
        <w:t>го языка в старшей школе лежит практико-ориентированный подход, опирающийся на опыт практической деятельности обучающихся, предполагающий создание образова</w:t>
      </w:r>
      <w:r>
        <w:t>тельной ситуации</w:t>
      </w:r>
      <w:proofErr w:type="gramStart"/>
      <w:r>
        <w:t xml:space="preserve"> </w:t>
      </w:r>
      <w:r w:rsidRPr="00F17ABA">
        <w:t>,</w:t>
      </w:r>
      <w:proofErr w:type="gramEnd"/>
      <w:r w:rsidRPr="00F17ABA">
        <w:t xml:space="preserve"> основными составляющими которой являются:</w:t>
      </w:r>
    </w:p>
    <w:p w:rsidR="00F17ABA" w:rsidRPr="00F17ABA" w:rsidRDefault="00F17ABA" w:rsidP="00F17ABA">
      <w:r w:rsidRPr="00F17ABA">
        <w:t>-      образовательная напряженность;</w:t>
      </w:r>
    </w:p>
    <w:p w:rsidR="00F17ABA" w:rsidRPr="00F17ABA" w:rsidRDefault="00F17ABA" w:rsidP="00F17ABA">
      <w:r w:rsidRPr="00F17ABA">
        <w:t>-      уточнение образовательного объекта;</w:t>
      </w:r>
    </w:p>
    <w:p w:rsidR="00F17ABA" w:rsidRPr="00F17ABA" w:rsidRDefault="00F17ABA" w:rsidP="00F17ABA">
      <w:r w:rsidRPr="00F17ABA">
        <w:t>-      конкретизация задания;</w:t>
      </w:r>
    </w:p>
    <w:p w:rsidR="00F17ABA" w:rsidRPr="00F17ABA" w:rsidRDefault="00F17ABA" w:rsidP="00F17ABA">
      <w:r w:rsidRPr="00F17ABA">
        <w:t>-      решение ситуации;</w:t>
      </w:r>
    </w:p>
    <w:p w:rsidR="00F17ABA" w:rsidRPr="00F17ABA" w:rsidRDefault="00F17ABA" w:rsidP="00F17ABA">
      <w:r w:rsidRPr="00F17ABA">
        <w:t>-      демонстрация образовательной продукции;</w:t>
      </w:r>
    </w:p>
    <w:p w:rsidR="00F17ABA" w:rsidRPr="00F17ABA" w:rsidRDefault="00F17ABA" w:rsidP="00F17ABA">
      <w:r w:rsidRPr="00F17ABA">
        <w:t>-      систематизация полученной продукции;</w:t>
      </w:r>
    </w:p>
    <w:p w:rsidR="00F17ABA" w:rsidRPr="00F17ABA" w:rsidRDefault="00F17ABA" w:rsidP="00F17ABA">
      <w:r w:rsidRPr="00F17ABA">
        <w:t>-      работа с культурно-историческими аналогами;</w:t>
      </w:r>
    </w:p>
    <w:p w:rsidR="00F17ABA" w:rsidRPr="00F17ABA" w:rsidRDefault="00F17ABA" w:rsidP="00F17ABA">
      <w:r w:rsidRPr="00F17ABA">
        <w:t>-      рефлексия.</w:t>
      </w:r>
    </w:p>
    <w:p w:rsidR="00F17ABA" w:rsidRPr="00F17ABA" w:rsidRDefault="00F17ABA" w:rsidP="00421DEA">
      <w:pPr>
        <w:ind w:firstLine="567"/>
      </w:pPr>
      <w:r w:rsidRPr="00F17ABA">
        <w:t>Система заданий на таких занятиях предполагает создание готового образовательного продукта: написание аргументированного эссе, творческой работы, ориентированной на цели и задачи коммуникации. В качестве подготовительного этапа учащиеся занимаются комплексным анализом текста, лингвистическим анализом, сопоставительным анализом. Определение темы, идеи, стиля, типа речи становится не целью, а лишь средством достижения той или иной цели.</w:t>
      </w:r>
      <w:r w:rsidR="00057897">
        <w:t xml:space="preserve"> На уроках закладывается </w:t>
      </w:r>
      <w:r w:rsidRPr="00F17ABA">
        <w:t xml:space="preserve"> опыт публичного выступления, навыков ведения дискуссии и полемики.</w:t>
      </w:r>
    </w:p>
    <w:p w:rsidR="004500D7" w:rsidRPr="004500D7" w:rsidRDefault="00F17ABA" w:rsidP="00421DEA">
      <w:pPr>
        <w:ind w:firstLine="567"/>
      </w:pPr>
      <w:r w:rsidRPr="00F17ABA">
        <w:lastRenderedPageBreak/>
        <w:t xml:space="preserve">Эффективным становится создание особой «языковой среды» путем включения в учебный план в качестве элективных курсов «Стилистики русского языка», «Риторики», «Основ журналистики», «Словесного творчества. Моделирования». Такой подход позволяет </w:t>
      </w:r>
      <w:proofErr w:type="gramStart"/>
      <w:r w:rsidRPr="00F17ABA">
        <w:t>обучающимся</w:t>
      </w:r>
      <w:proofErr w:type="gramEnd"/>
      <w:r w:rsidRPr="00F17ABA">
        <w:t xml:space="preserve"> наблюдать родной язык на разных уровнях: язык нормированный, закрепленный в словарях; язык коммуникативно-целесообразный; язык действенный.</w:t>
      </w:r>
      <w:r w:rsidR="0035082A">
        <w:t xml:space="preserve"> </w:t>
      </w:r>
      <w:proofErr w:type="spellStart"/>
      <w:r w:rsidR="004500D7" w:rsidRPr="004500D7">
        <w:t>Компетентностный</w:t>
      </w:r>
      <w:proofErr w:type="spellEnd"/>
      <w:r w:rsidR="004500D7" w:rsidRPr="004500D7">
        <w:t xml:space="preserve"> подход к обучению русскому языку позволяет ответить на вопрос, как ученик владеет языком, на каком уровне: языковом, лингвистическом, коммуникативном.</w:t>
      </w:r>
    </w:p>
    <w:p w:rsidR="004500D7" w:rsidRPr="004500D7" w:rsidRDefault="004500D7" w:rsidP="00421DEA">
      <w:pPr>
        <w:ind w:firstLine="567"/>
      </w:pPr>
      <w:proofErr w:type="gramStart"/>
      <w:r w:rsidRPr="004500D7">
        <w:rPr>
          <w:b/>
          <w:bCs/>
        </w:rPr>
        <w:t>Языковая компетенция</w:t>
      </w:r>
      <w:r w:rsidRPr="004500D7">
        <w:t xml:space="preserve"> реализуется в процессе </w:t>
      </w:r>
      <w:r w:rsidR="0035082A">
        <w:t>формирования у обучающихся  науч</w:t>
      </w:r>
      <w:r w:rsidRPr="004500D7">
        <w:t>но-лингвистического мировоз</w:t>
      </w:r>
      <w:r w:rsidR="00C2769F">
        <w:t xml:space="preserve">зрения, вооружения их основами </w:t>
      </w:r>
      <w:r w:rsidRPr="004500D7">
        <w:t>знаний о родном языке (его устройстве и функционировании), развития языкового и эстетического идеала (т. е. представления о прекрасном в языке и речи).</w:t>
      </w:r>
      <w:proofErr w:type="gramEnd"/>
    </w:p>
    <w:p w:rsidR="004500D7" w:rsidRPr="004500D7" w:rsidRDefault="004500D7" w:rsidP="00421DEA">
      <w:pPr>
        <w:ind w:firstLine="567"/>
      </w:pPr>
      <w:r w:rsidRPr="004500D7">
        <w:t xml:space="preserve">Одной из специфических  особенностей уроков русского языка является большой объем письменной работы, которую необходимо осуществить для приобретения  соответствующих компетенций.  </w:t>
      </w:r>
      <w:proofErr w:type="gramStart"/>
      <w:r w:rsidRPr="004500D7">
        <w:t>Развитие информационных технологий позволило интенсифицировать преподавание русского языка, повысить темп современного урока, увеличить объем коммуникативных упражнений за счет сокращения затрат времени на различного рода переписывание, решить  актуальные задачи, связанные с разнообр</w:t>
      </w:r>
      <w:r w:rsidR="0035082A">
        <w:t xml:space="preserve">азием деятельности  школьника </w:t>
      </w:r>
      <w:r w:rsidRPr="004500D7">
        <w:t xml:space="preserve"> в процессе сознательного овладения  компетенциями.</w:t>
      </w:r>
      <w:proofErr w:type="gramEnd"/>
    </w:p>
    <w:p w:rsidR="004500D7" w:rsidRPr="004500D7" w:rsidRDefault="004500D7" w:rsidP="00421DEA">
      <w:pPr>
        <w:ind w:firstLine="567"/>
      </w:pPr>
      <w:r w:rsidRPr="004500D7">
        <w:t>Компьютер как современное те</w:t>
      </w:r>
      <w:r w:rsidR="0035082A">
        <w:t>хническое средство обладает уни</w:t>
      </w:r>
      <w:r w:rsidRPr="004500D7">
        <w:t>кальными обучающими возможностями:  </w:t>
      </w:r>
    </w:p>
    <w:p w:rsidR="004500D7" w:rsidRPr="004500D7" w:rsidRDefault="004500D7" w:rsidP="004500D7">
      <w:pPr>
        <w:numPr>
          <w:ilvl w:val="0"/>
          <w:numId w:val="1"/>
        </w:numPr>
      </w:pPr>
      <w:r w:rsidRPr="004500D7">
        <w:rPr>
          <w:b/>
          <w:bCs/>
        </w:rPr>
        <w:t>Компьютер как демонстрационное средство наглядности</w:t>
      </w:r>
      <w:r w:rsidRPr="004500D7">
        <w:t> </w:t>
      </w:r>
      <w:r w:rsidR="0035082A">
        <w:t>(интер</w:t>
      </w:r>
      <w:r w:rsidRPr="004500D7">
        <w:t xml:space="preserve">активной наглядности). Особенно активно взаимодействие </w:t>
      </w:r>
      <w:proofErr w:type="gramStart"/>
      <w:r w:rsidRPr="004500D7">
        <w:t>обучающихся</w:t>
      </w:r>
      <w:proofErr w:type="gramEnd"/>
      <w:r w:rsidRPr="004500D7">
        <w:t xml:space="preserve"> с динамическими таблицами, опорными схемами, таблицами. Они   заполняются в ходе беседы,  самостоятельно,  с использованием справочных материалов. Все это облегчает восприятие и понимание грамматического</w:t>
      </w:r>
      <w:r w:rsidR="0035082A">
        <w:t xml:space="preserve"> мате</w:t>
      </w:r>
      <w:r w:rsidRPr="004500D7">
        <w:t>риала, позволяет ярко предъявлять языковую наглядность, материа</w:t>
      </w:r>
      <w:r w:rsidR="0035082A">
        <w:t xml:space="preserve">лизовать </w:t>
      </w:r>
      <w:r w:rsidRPr="004500D7">
        <w:t xml:space="preserve"> ее с помощью подчеркиваний, цвета, решать лингвистические задачи. У обучающихся р</w:t>
      </w:r>
      <w:r w:rsidR="0035082A">
        <w:t>азвиваются умения, формирующие</w:t>
      </w:r>
      <w:r w:rsidRPr="004500D7">
        <w:t xml:space="preserve"> языковую компетенцию:  извлекать информацию из различных источников, строить схемы, используя теоретический материал, свободно пользоваться справочной литературой, различными лингвистическими словарями, проводить различные виды анализа языковых единиц, явлений.</w:t>
      </w:r>
    </w:p>
    <w:p w:rsidR="0035082A" w:rsidRDefault="004500D7" w:rsidP="004500D7">
      <w:pPr>
        <w:numPr>
          <w:ilvl w:val="0"/>
          <w:numId w:val="1"/>
        </w:numPr>
      </w:pPr>
      <w:r w:rsidRPr="004500D7">
        <w:t>С внедрением информационных технологий связано более ши</w:t>
      </w:r>
      <w:r w:rsidR="00C2769F">
        <w:t>рокое понимание управления</w:t>
      </w:r>
      <w:r w:rsidRPr="004500D7">
        <w:t xml:space="preserve"> процессом обучения каждого обучающегося, так как  мы получаем  необходимую управленческую информацию, </w:t>
      </w:r>
      <w:r w:rsidR="00C2769F">
        <w:t xml:space="preserve">которая имеет </w:t>
      </w:r>
      <w:r w:rsidRPr="004500D7">
        <w:t>индивидуально-личностный характер, позволяет увидеть продвижение каждого ребенка в процессе обучения</w:t>
      </w:r>
      <w:r w:rsidR="00C2769F">
        <w:t xml:space="preserve">. </w:t>
      </w:r>
      <w:r w:rsidR="0035082A">
        <w:t>Компьютерные тре</w:t>
      </w:r>
      <w:r w:rsidR="00C2769F">
        <w:t xml:space="preserve">нажеры и тесты </w:t>
      </w:r>
      <w:r w:rsidRPr="004500D7">
        <w:t>вносят разнообразие в освое</w:t>
      </w:r>
      <w:r w:rsidR="0035082A">
        <w:t>ние правил орфографии и пунктуа</w:t>
      </w:r>
      <w:r w:rsidRPr="004500D7">
        <w:t>ции, пре</w:t>
      </w:r>
      <w:r w:rsidR="0035082A">
        <w:t>дставляя альтернативу утомитель</w:t>
      </w:r>
      <w:r w:rsidRPr="004500D7">
        <w:t>ным и однообразным письменным упражнениям</w:t>
      </w:r>
      <w:r w:rsidR="0035082A">
        <w:t>.</w:t>
      </w:r>
    </w:p>
    <w:p w:rsidR="004500D7" w:rsidRPr="004500D7" w:rsidRDefault="004500D7" w:rsidP="004500D7">
      <w:pPr>
        <w:numPr>
          <w:ilvl w:val="0"/>
          <w:numId w:val="1"/>
        </w:numPr>
      </w:pPr>
      <w:r w:rsidRPr="004500D7">
        <w:t xml:space="preserve">Применение информационных технологий в учебном процессе на уроках русского языка способствует развитию умений, формирующих коммуникативную компетенцию. </w:t>
      </w:r>
    </w:p>
    <w:p w:rsidR="0080002F" w:rsidRDefault="004500D7" w:rsidP="00421DEA">
      <w:pPr>
        <w:ind w:firstLine="567"/>
      </w:pPr>
      <w:r w:rsidRPr="004500D7">
        <w:t>Работа с текстом - это одна из возможностей научить школьника всматриваться в слово, наблюдать, анализировать, обобщать, самостоятельно мыслить.</w:t>
      </w:r>
      <w:r w:rsidR="0080002F">
        <w:t xml:space="preserve"> Ученики, используя возможности компьютера, определяют стиль текста, выделяют тему, составляют план, находят и подчеркивают изобразительно-выразительные средства языка. Ребята учатся свободно, правильно излагать свои мысли и соблюдать нормы построения текста, выражать свое отношение к фактам и явлениям окружающей действительности, к </w:t>
      </w:r>
      <w:proofErr w:type="gramStart"/>
      <w:r w:rsidR="0080002F">
        <w:t>прочитанному</w:t>
      </w:r>
      <w:proofErr w:type="gramEnd"/>
      <w:r w:rsidR="0080002F">
        <w:t xml:space="preserve"> и услышанному.</w:t>
      </w:r>
      <w:r w:rsidR="0080002F" w:rsidRPr="0080002F">
        <w:t xml:space="preserve"> </w:t>
      </w:r>
    </w:p>
    <w:p w:rsidR="004500D7" w:rsidRPr="004500D7" w:rsidRDefault="0080002F" w:rsidP="00421DEA">
      <w:pPr>
        <w:ind w:firstLine="567"/>
      </w:pPr>
      <w:r w:rsidRPr="004500D7">
        <w:lastRenderedPageBreak/>
        <w:t>Соблюдать в практике речевого общения основные лексические, грамматические нормы современного русского литературного языка помогают деформированные тексты, имеющие задания: устранить ошибки в словоупотреблении, заменить выделенные слова синонимами, найти   речевые и грамматические ошибки и т. д. Исправляя тексты, ученики осуществляют речевой самоконтроль; оценивают свою  и чужую речь с точки зрения её правильности.</w:t>
      </w:r>
    </w:p>
    <w:p w:rsidR="004500D7" w:rsidRPr="004500D7" w:rsidRDefault="004500D7" w:rsidP="00421DEA">
      <w:pPr>
        <w:ind w:firstLine="567"/>
      </w:pPr>
      <w:r w:rsidRPr="004500D7">
        <w:t>Таким образом, использование ИКТ на уроках  формирует  высокий  уровень  мотивации, интерес к учебной деятельности,  способствует развитию у каждого школьника собственной образовательной траектории,  формировани</w:t>
      </w:r>
      <w:r w:rsidR="0080002F">
        <w:t>ю  языковых, коммуникативных умений</w:t>
      </w:r>
      <w:r w:rsidRPr="004500D7">
        <w:t xml:space="preserve"> и навыков, обеспечивающих свободное владение русским языком в разных сферах и ситуациях общения.</w:t>
      </w:r>
    </w:p>
    <w:p w:rsidR="004500D7" w:rsidRPr="004500D7" w:rsidRDefault="004500D7" w:rsidP="00421DEA">
      <w:pPr>
        <w:ind w:firstLine="567"/>
      </w:pPr>
      <w:r w:rsidRPr="004500D7">
        <w:t>Однако следует отметить, что  ведущая роль на уроке остается за учителем, а компьютер является наряду с другими средствами обучения лишь многофункци</w:t>
      </w:r>
      <w:r w:rsidRPr="004500D7">
        <w:softHyphen/>
        <w:t>ональным помощником и методическим инструментом. Компьютерная поддержка должна являться одним из компонентов учебного процесса и применяться только там, где это целесообразно. Процесс построения и учебного процесса с использование ИКТ и их разработка должны быть продуманы методически и обоснованы научно.</w:t>
      </w:r>
    </w:p>
    <w:p w:rsidR="00C71AB4" w:rsidRDefault="00C71AB4" w:rsidP="00B45C00"/>
    <w:sectPr w:rsidR="00C7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C0E85"/>
    <w:multiLevelType w:val="multilevel"/>
    <w:tmpl w:val="61D0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00"/>
    <w:rsid w:val="00057897"/>
    <w:rsid w:val="000A5DB6"/>
    <w:rsid w:val="00325DAD"/>
    <w:rsid w:val="0035082A"/>
    <w:rsid w:val="00421DEA"/>
    <w:rsid w:val="00445340"/>
    <w:rsid w:val="004500D7"/>
    <w:rsid w:val="0080002F"/>
    <w:rsid w:val="00920758"/>
    <w:rsid w:val="00B347D6"/>
    <w:rsid w:val="00B45C00"/>
    <w:rsid w:val="00B718F8"/>
    <w:rsid w:val="00C2769F"/>
    <w:rsid w:val="00C71AB4"/>
    <w:rsid w:val="00E0516F"/>
    <w:rsid w:val="00F1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4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6127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892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5143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78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611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21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518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39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408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620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706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319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9915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018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26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277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26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44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08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4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962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781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574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6847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NewsPrint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NewsPrint">
      <a:fillStyleLst>
        <a:solidFill>
          <a:schemeClr val="phClr"/>
        </a:solidFill>
        <a:gradFill rotWithShape="1">
          <a:gsLst>
            <a:gs pos="0">
              <a:schemeClr val="phClr">
                <a:tint val="37000"/>
                <a:hueMod val="100000"/>
                <a:satMod val="200000"/>
                <a:lumMod val="88000"/>
              </a:schemeClr>
            </a:gs>
            <a:gs pos="100000">
              <a:schemeClr val="phClr">
                <a:tint val="53000"/>
                <a:shade val="100000"/>
                <a:hueMod val="100000"/>
                <a:satMod val="350000"/>
                <a:lumMod val="79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83000"/>
                <a:shade val="100000"/>
                <a:alpha val="100000"/>
                <a:hueMod val="100000"/>
                <a:satMod val="220000"/>
                <a:lumMod val="90000"/>
              </a:schemeClr>
            </a:gs>
            <a:gs pos="76000">
              <a:schemeClr val="phClr">
                <a:shade val="100000"/>
              </a:schemeClr>
            </a:gs>
            <a:gs pos="100000">
              <a:schemeClr val="phClr">
                <a:shade val="93000"/>
                <a:alpha val="100000"/>
                <a:satMod val="100000"/>
                <a:lumMod val="93000"/>
              </a:schemeClr>
            </a:gs>
          </a:gsLst>
          <a:path path="circle">
            <a:fillToRect l="15000" t="15000" r="100000" b="100000"/>
          </a:path>
        </a:gradFill>
      </a:fillStyleLst>
      <a:lnStyleLst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12700" dir="528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2700">
            <a:bevelT w="31750" h="127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3000"/>
              </a:schemeClr>
            </a:gs>
            <a:gs pos="100000">
              <a:schemeClr val="phClr">
                <a:shade val="55000"/>
              </a:schemeClr>
            </a:gs>
          </a:gsLst>
          <a:lin ang="5400000" scaled="1"/>
        </a:gradFill>
        <a:blipFill rotWithShape="1">
          <a:blip xmlns:r="http://schemas.openxmlformats.org/officeDocument/2006/relationships" r:embed="rId1">
            <a:duotone>
              <a:schemeClr val="phClr">
                <a:shade val="20000"/>
                <a:satMod val="350000"/>
                <a:lumMod val="125000"/>
              </a:schemeClr>
              <a:schemeClr val="phClr">
                <a:tint val="90000"/>
                <a:satMod val="25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89E5-0268-45EA-9EAA-B84766FD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freez</dc:creator>
  <cp:lastModifiedBy>freez</cp:lastModifiedBy>
  <cp:revision>3</cp:revision>
  <dcterms:created xsi:type="dcterms:W3CDTF">2010-09-24T16:36:00Z</dcterms:created>
  <dcterms:modified xsi:type="dcterms:W3CDTF">2010-09-24T19:49:00Z</dcterms:modified>
</cp:coreProperties>
</file>